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4395"/>
        <w:gridCol w:w="6379"/>
      </w:tblGrid>
      <w:tr w:rsidR="003165DD" w:rsidRPr="00AD77C8" w:rsidTr="00D669DF">
        <w:tc>
          <w:tcPr>
            <w:tcW w:w="4395" w:type="dxa"/>
          </w:tcPr>
          <w:p w:rsidR="00B21440" w:rsidRPr="00AD77C8" w:rsidRDefault="00B21440" w:rsidP="00B21440">
            <w:pPr>
              <w:jc w:val="center"/>
              <w:rPr>
                <w:rFonts w:cs="Arial"/>
                <w:b/>
                <w:sz w:val="36"/>
                <w:szCs w:val="20"/>
              </w:rPr>
            </w:pPr>
            <w:r w:rsidRPr="00AD77C8">
              <w:rPr>
                <w:rFonts w:cs="Arial"/>
                <w:b/>
                <w:sz w:val="36"/>
                <w:szCs w:val="20"/>
              </w:rPr>
              <w:t>CATEGORIE DE PUBLIC EMPECHE</w:t>
            </w:r>
          </w:p>
          <w:p w:rsidR="00A124A5" w:rsidRPr="00AD77C8" w:rsidRDefault="00A124A5">
            <w:pPr>
              <w:rPr>
                <w:b/>
                <w:sz w:val="28"/>
                <w:szCs w:val="20"/>
              </w:rPr>
            </w:pPr>
          </w:p>
        </w:tc>
        <w:tc>
          <w:tcPr>
            <w:tcW w:w="6379" w:type="dxa"/>
          </w:tcPr>
          <w:p w:rsidR="00B21440" w:rsidRPr="00AD77C8" w:rsidRDefault="00B21440" w:rsidP="00CB2CF5">
            <w:pPr>
              <w:ind w:left="175" w:hanging="142"/>
              <w:rPr>
                <w:b/>
                <w:sz w:val="28"/>
                <w:szCs w:val="20"/>
              </w:rPr>
            </w:pPr>
          </w:p>
          <w:p w:rsidR="003165DD" w:rsidRPr="00AD77C8" w:rsidRDefault="00C927C8" w:rsidP="005F4C67">
            <w:pPr>
              <w:ind w:left="175" w:hanging="142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</w:t>
            </w:r>
            <w:r w:rsidR="00C93983">
              <w:rPr>
                <w:b/>
                <w:sz w:val="40"/>
                <w:szCs w:val="40"/>
              </w:rPr>
              <w:t>Etudiant</w:t>
            </w:r>
            <w:r>
              <w:rPr>
                <w:b/>
                <w:sz w:val="40"/>
                <w:szCs w:val="40"/>
              </w:rPr>
              <w:t xml:space="preserve"> </w:t>
            </w:r>
            <w:r w:rsidR="005F4C67">
              <w:rPr>
                <w:b/>
                <w:sz w:val="40"/>
                <w:szCs w:val="40"/>
              </w:rPr>
              <w:t>sportif</w:t>
            </w:r>
            <w:r>
              <w:rPr>
                <w:b/>
                <w:sz w:val="40"/>
                <w:szCs w:val="40"/>
              </w:rPr>
              <w:t xml:space="preserve"> de haut niveau</w:t>
            </w:r>
          </w:p>
        </w:tc>
      </w:tr>
      <w:tr w:rsidR="003165DD" w:rsidRPr="00AD77C8" w:rsidTr="00D669DF">
        <w:tc>
          <w:tcPr>
            <w:tcW w:w="4395" w:type="dxa"/>
          </w:tcPr>
          <w:p w:rsidR="005E73A8" w:rsidRPr="00AD77C8" w:rsidRDefault="005E73A8" w:rsidP="005E73A8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5E73A8" w:rsidRPr="00AD77C8" w:rsidRDefault="005E73A8" w:rsidP="005E73A8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5E73A8" w:rsidRPr="00AD77C8" w:rsidRDefault="005E73A8" w:rsidP="005E73A8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5E73A8" w:rsidRPr="00AD77C8" w:rsidRDefault="005E73A8" w:rsidP="005E73A8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5E73A8" w:rsidRPr="00AD77C8" w:rsidRDefault="005E73A8" w:rsidP="005E73A8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5E73A8" w:rsidRPr="00AD77C8" w:rsidRDefault="005E73A8" w:rsidP="005E73A8">
            <w:pPr>
              <w:rPr>
                <w:rFonts w:cs="Arial"/>
                <w:b/>
                <w:sz w:val="28"/>
                <w:szCs w:val="20"/>
              </w:rPr>
            </w:pPr>
            <w:r w:rsidRPr="00AD77C8">
              <w:rPr>
                <w:rFonts w:cs="Arial"/>
                <w:b/>
                <w:sz w:val="28"/>
                <w:szCs w:val="20"/>
              </w:rPr>
              <w:t>Règlementation applicable</w:t>
            </w:r>
          </w:p>
          <w:p w:rsidR="00A124A5" w:rsidRPr="00AD77C8" w:rsidRDefault="00A124A5">
            <w:pPr>
              <w:rPr>
                <w:sz w:val="20"/>
                <w:szCs w:val="20"/>
              </w:rPr>
            </w:pPr>
          </w:p>
          <w:p w:rsidR="005E73A8" w:rsidRPr="00AD77C8" w:rsidRDefault="005E73A8">
            <w:pPr>
              <w:rPr>
                <w:sz w:val="20"/>
                <w:szCs w:val="20"/>
              </w:rPr>
            </w:pPr>
          </w:p>
          <w:p w:rsidR="005E73A8" w:rsidRPr="00AD77C8" w:rsidRDefault="005E73A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897EC7" w:rsidRPr="00AD77C8" w:rsidRDefault="00897EC7" w:rsidP="00897EC7">
            <w:pPr>
              <w:pStyle w:val="Paragraphedeliste"/>
              <w:tabs>
                <w:tab w:val="left" w:pos="459"/>
              </w:tabs>
              <w:ind w:left="175"/>
              <w:jc w:val="both"/>
              <w:rPr>
                <w:rFonts w:cs="Arial"/>
                <w:sz w:val="20"/>
                <w:szCs w:val="20"/>
              </w:rPr>
            </w:pPr>
          </w:p>
          <w:p w:rsidR="00280279" w:rsidRPr="00AD77C8" w:rsidRDefault="00F3000F" w:rsidP="00280279">
            <w:pPr>
              <w:pStyle w:val="Paragraphedeliste"/>
              <w:numPr>
                <w:ilvl w:val="0"/>
                <w:numId w:val="2"/>
              </w:numPr>
              <w:tabs>
                <w:tab w:val="left" w:pos="459"/>
              </w:tabs>
              <w:ind w:left="175" w:firstLine="0"/>
              <w:jc w:val="both"/>
              <w:rPr>
                <w:rFonts w:cs="Arial"/>
                <w:sz w:val="20"/>
                <w:szCs w:val="20"/>
              </w:rPr>
            </w:pPr>
            <w:r w:rsidRPr="00AD77C8">
              <w:rPr>
                <w:iCs/>
                <w:sz w:val="20"/>
                <w:szCs w:val="20"/>
              </w:rPr>
              <w:t xml:space="preserve">Le code du sport </w:t>
            </w:r>
            <w:r w:rsidR="00280279" w:rsidRPr="00AD77C8">
              <w:rPr>
                <w:iCs/>
                <w:sz w:val="20"/>
                <w:szCs w:val="20"/>
              </w:rPr>
              <w:t xml:space="preserve">Articles L 221-1 et L221-2, </w:t>
            </w:r>
          </w:p>
          <w:p w:rsidR="00280279" w:rsidRPr="00AD77C8" w:rsidRDefault="00280279" w:rsidP="00280279">
            <w:pPr>
              <w:pStyle w:val="Paragraphedeliste"/>
              <w:numPr>
                <w:ilvl w:val="0"/>
                <w:numId w:val="2"/>
              </w:numPr>
              <w:tabs>
                <w:tab w:val="left" w:pos="459"/>
              </w:tabs>
              <w:ind w:left="175" w:firstLine="0"/>
              <w:jc w:val="both"/>
              <w:rPr>
                <w:rFonts w:cs="Arial"/>
                <w:sz w:val="20"/>
                <w:szCs w:val="20"/>
              </w:rPr>
            </w:pPr>
            <w:r w:rsidRPr="00AD77C8">
              <w:rPr>
                <w:iCs/>
                <w:sz w:val="20"/>
                <w:szCs w:val="20"/>
              </w:rPr>
              <w:t xml:space="preserve">La charte du sport de haut niveau, </w:t>
            </w:r>
          </w:p>
          <w:p w:rsidR="00280279" w:rsidRPr="00AD77C8" w:rsidRDefault="00F3000F" w:rsidP="00280279">
            <w:pPr>
              <w:pStyle w:val="Paragraphedeliste"/>
              <w:numPr>
                <w:ilvl w:val="0"/>
                <w:numId w:val="2"/>
              </w:numPr>
              <w:tabs>
                <w:tab w:val="left" w:pos="459"/>
              </w:tabs>
              <w:ind w:left="175" w:firstLine="0"/>
              <w:jc w:val="both"/>
              <w:rPr>
                <w:rFonts w:cs="Arial"/>
                <w:sz w:val="20"/>
                <w:szCs w:val="20"/>
              </w:rPr>
            </w:pPr>
            <w:r w:rsidRPr="00AD77C8">
              <w:rPr>
                <w:iCs/>
                <w:sz w:val="20"/>
                <w:szCs w:val="20"/>
              </w:rPr>
              <w:t>Le c</w:t>
            </w:r>
            <w:r w:rsidR="00280279" w:rsidRPr="00AD77C8">
              <w:rPr>
                <w:iCs/>
                <w:sz w:val="20"/>
                <w:szCs w:val="20"/>
              </w:rPr>
              <w:t>ode de l‘</w:t>
            </w:r>
            <w:proofErr w:type="spellStart"/>
            <w:r w:rsidR="00280279" w:rsidRPr="00AD77C8">
              <w:rPr>
                <w:iCs/>
                <w:sz w:val="20"/>
                <w:szCs w:val="20"/>
              </w:rPr>
              <w:t>éducation</w:t>
            </w:r>
            <w:proofErr w:type="spellEnd"/>
            <w:r w:rsidR="00280279" w:rsidRPr="00AD77C8">
              <w:rPr>
                <w:iCs/>
                <w:sz w:val="20"/>
                <w:szCs w:val="20"/>
              </w:rPr>
              <w:t>. Articles L611-4, L612-2 à 612-4 et L 63-3 à L613-5</w:t>
            </w:r>
            <w:r w:rsidR="00584936" w:rsidRPr="00AD77C8">
              <w:rPr>
                <w:iCs/>
                <w:sz w:val="20"/>
                <w:szCs w:val="20"/>
              </w:rPr>
              <w:t>,</w:t>
            </w:r>
            <w:r w:rsidR="00280279" w:rsidRPr="00AD77C8">
              <w:rPr>
                <w:iCs/>
                <w:sz w:val="20"/>
                <w:szCs w:val="20"/>
              </w:rPr>
              <w:t xml:space="preserve"> </w:t>
            </w:r>
          </w:p>
          <w:p w:rsidR="0018643C" w:rsidRPr="00AD77C8" w:rsidRDefault="0018643C" w:rsidP="0018643C">
            <w:pPr>
              <w:pStyle w:val="Paragraphedeliste"/>
              <w:numPr>
                <w:ilvl w:val="0"/>
                <w:numId w:val="2"/>
              </w:numPr>
              <w:tabs>
                <w:tab w:val="left" w:pos="459"/>
              </w:tabs>
              <w:ind w:left="175" w:firstLine="0"/>
              <w:jc w:val="both"/>
              <w:rPr>
                <w:rFonts w:cs="Arial"/>
                <w:sz w:val="20"/>
                <w:szCs w:val="20"/>
              </w:rPr>
            </w:pPr>
            <w:r w:rsidRPr="00AD77C8">
              <w:rPr>
                <w:rFonts w:cs="Arial"/>
                <w:bCs/>
                <w:color w:val="262626"/>
                <w:sz w:val="20"/>
                <w:szCs w:val="20"/>
              </w:rPr>
              <w:t>LOI n° 2015-1541 du 27 novembre 2015 visant à protéger les sportifs de haut niveau et professionnels et à sécuriser leur situation juridique et sociale.</w:t>
            </w:r>
          </w:p>
          <w:p w:rsidR="003D1D3A" w:rsidRPr="00AD77C8" w:rsidRDefault="003D1D3A" w:rsidP="0018643C">
            <w:pPr>
              <w:pStyle w:val="Paragraphedeliste"/>
              <w:numPr>
                <w:ilvl w:val="0"/>
                <w:numId w:val="2"/>
              </w:numPr>
              <w:tabs>
                <w:tab w:val="left" w:pos="459"/>
              </w:tabs>
              <w:ind w:left="175" w:firstLine="0"/>
              <w:jc w:val="both"/>
              <w:rPr>
                <w:rFonts w:cs="Arial"/>
                <w:sz w:val="20"/>
                <w:szCs w:val="20"/>
              </w:rPr>
            </w:pPr>
            <w:r w:rsidRPr="00AD77C8">
              <w:rPr>
                <w:rStyle w:val="Lienhypertexte"/>
                <w:rFonts w:cs="Arial"/>
                <w:color w:val="auto"/>
                <w:sz w:val="20"/>
                <w:szCs w:val="20"/>
                <w:u w:val="none"/>
              </w:rPr>
              <w:t>La circulaire interministérielle n°2006-123 du 1</w:t>
            </w:r>
            <w:r w:rsidRPr="00AD77C8">
              <w:rPr>
                <w:rStyle w:val="Lienhypertexte"/>
                <w:rFonts w:cs="Arial"/>
                <w:color w:val="auto"/>
                <w:sz w:val="20"/>
                <w:szCs w:val="20"/>
                <w:u w:val="none"/>
                <w:vertAlign w:val="superscript"/>
              </w:rPr>
              <w:t>ier</w:t>
            </w:r>
            <w:r w:rsidRPr="00AD77C8">
              <w:rPr>
                <w:rStyle w:val="Lienhypertexte"/>
                <w:rFonts w:cs="Arial"/>
                <w:color w:val="auto"/>
                <w:sz w:val="20"/>
                <w:szCs w:val="20"/>
                <w:u w:val="none"/>
              </w:rPr>
              <w:t xml:space="preserve"> août 2006 relative aux élèves étudiants et personnels </w:t>
            </w:r>
            <w:proofErr w:type="gramStart"/>
            <w:r w:rsidRPr="00AD77C8">
              <w:rPr>
                <w:rStyle w:val="Lienhypertexte"/>
                <w:rFonts w:cs="Arial"/>
                <w:color w:val="auto"/>
                <w:sz w:val="20"/>
                <w:szCs w:val="20"/>
                <w:u w:val="none"/>
              </w:rPr>
              <w:t>sportifs(</w:t>
            </w:r>
            <w:proofErr w:type="gramEnd"/>
            <w:r w:rsidRPr="00AD77C8">
              <w:rPr>
                <w:rStyle w:val="Lienhypertexte"/>
                <w:rFonts w:cs="Arial"/>
                <w:color w:val="auto"/>
                <w:sz w:val="20"/>
                <w:szCs w:val="20"/>
                <w:u w:val="none"/>
              </w:rPr>
              <w:t>ives) de haut niveau et sportifs(ives)</w:t>
            </w:r>
          </w:p>
          <w:p w:rsidR="0018643C" w:rsidRPr="00AD77C8" w:rsidRDefault="0018643C" w:rsidP="0018643C">
            <w:pPr>
              <w:pStyle w:val="Paragraphedeliste"/>
              <w:numPr>
                <w:ilvl w:val="0"/>
                <w:numId w:val="2"/>
              </w:numPr>
              <w:tabs>
                <w:tab w:val="left" w:pos="459"/>
              </w:tabs>
              <w:ind w:left="175" w:firstLine="0"/>
              <w:jc w:val="both"/>
              <w:rPr>
                <w:rFonts w:cs="Arial"/>
                <w:sz w:val="20"/>
                <w:szCs w:val="20"/>
              </w:rPr>
            </w:pPr>
            <w:r w:rsidRPr="00AD77C8">
              <w:rPr>
                <w:rFonts w:cs="Arial"/>
                <w:bCs/>
                <w:color w:val="262626"/>
                <w:sz w:val="20"/>
                <w:szCs w:val="20"/>
              </w:rPr>
              <w:t>Décret n° 2016-1286 du 29 septembre 2016 relatif au sport de haut niveau Article R221</w:t>
            </w:r>
            <w:r w:rsidR="000A1C2A" w:rsidRPr="00AD77C8">
              <w:rPr>
                <w:rFonts w:cs="Arial"/>
                <w:bCs/>
                <w:color w:val="262626"/>
                <w:sz w:val="20"/>
                <w:szCs w:val="20"/>
              </w:rPr>
              <w:t>-20</w:t>
            </w:r>
            <w:r w:rsidR="00584936" w:rsidRPr="00AD77C8">
              <w:rPr>
                <w:rFonts w:cs="Arial"/>
                <w:bCs/>
                <w:color w:val="262626"/>
                <w:sz w:val="20"/>
                <w:szCs w:val="20"/>
              </w:rPr>
              <w:t>.</w:t>
            </w:r>
          </w:p>
          <w:p w:rsidR="003D1D3A" w:rsidRPr="00AD77C8" w:rsidRDefault="003D1D3A" w:rsidP="008B30DA">
            <w:pPr>
              <w:tabs>
                <w:tab w:val="left" w:pos="459"/>
              </w:tabs>
              <w:ind w:left="175"/>
              <w:jc w:val="both"/>
              <w:rPr>
                <w:rFonts w:cs="Arial"/>
                <w:sz w:val="20"/>
                <w:szCs w:val="20"/>
              </w:rPr>
            </w:pPr>
          </w:p>
          <w:p w:rsidR="0003557A" w:rsidRPr="00AD77C8" w:rsidRDefault="0003557A" w:rsidP="00897EC7">
            <w:pPr>
              <w:tabs>
                <w:tab w:val="left" w:pos="459"/>
              </w:tabs>
              <w:ind w:left="175"/>
              <w:jc w:val="both"/>
              <w:rPr>
                <w:sz w:val="20"/>
                <w:szCs w:val="20"/>
              </w:rPr>
            </w:pPr>
          </w:p>
        </w:tc>
      </w:tr>
      <w:tr w:rsidR="003165DD" w:rsidRPr="00AD77C8" w:rsidTr="00D669DF">
        <w:tc>
          <w:tcPr>
            <w:tcW w:w="4395" w:type="dxa"/>
          </w:tcPr>
          <w:p w:rsidR="00B04325" w:rsidRPr="00AD77C8" w:rsidRDefault="00B04325" w:rsidP="00B0432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B04325" w:rsidRPr="00AD77C8" w:rsidRDefault="00B04325" w:rsidP="00B0432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B04325" w:rsidRPr="00AD77C8" w:rsidRDefault="00B04325" w:rsidP="00B0432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B04325" w:rsidRPr="00AD77C8" w:rsidRDefault="00B04325" w:rsidP="00B0432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B04325" w:rsidRPr="00AD77C8" w:rsidRDefault="00B04325" w:rsidP="00B0432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B04325" w:rsidRPr="00AD77C8" w:rsidRDefault="00B04325" w:rsidP="00B0432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B04325" w:rsidRPr="00AD77C8" w:rsidRDefault="00B04325" w:rsidP="00B0432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B04325" w:rsidRPr="00AD77C8" w:rsidRDefault="00B04325" w:rsidP="00B0432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B04325" w:rsidRPr="00AD77C8" w:rsidRDefault="00B04325" w:rsidP="00B0432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B04325" w:rsidRPr="00AD77C8" w:rsidRDefault="00B04325" w:rsidP="00B04325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AD77C8">
              <w:rPr>
                <w:rFonts w:cs="Arial"/>
                <w:b/>
                <w:sz w:val="28"/>
                <w:szCs w:val="20"/>
              </w:rPr>
              <w:t>Justificatifs administratifs à recueillir</w:t>
            </w:r>
          </w:p>
          <w:p w:rsidR="00A124A5" w:rsidRPr="00AD77C8" w:rsidRDefault="00A124A5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D669DF" w:rsidRPr="00AD77C8" w:rsidRDefault="0003557A" w:rsidP="00D669DF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317" w:hanging="142"/>
              <w:jc w:val="both"/>
              <w:rPr>
                <w:sz w:val="20"/>
                <w:szCs w:val="20"/>
              </w:rPr>
            </w:pPr>
            <w:r w:rsidRPr="00AD77C8">
              <w:rPr>
                <w:sz w:val="20"/>
                <w:szCs w:val="20"/>
              </w:rPr>
              <w:t xml:space="preserve">Préconisation </w:t>
            </w:r>
            <w:r w:rsidR="0014437C" w:rsidRPr="00AD77C8">
              <w:rPr>
                <w:sz w:val="20"/>
                <w:szCs w:val="20"/>
              </w:rPr>
              <w:t xml:space="preserve">d’aménagement(s) établie par </w:t>
            </w:r>
            <w:r w:rsidR="005908DB" w:rsidRPr="00AD77C8">
              <w:rPr>
                <w:sz w:val="20"/>
                <w:szCs w:val="20"/>
              </w:rPr>
              <w:t>un</w:t>
            </w:r>
            <w:r w:rsidR="00F65492" w:rsidRPr="00AD77C8">
              <w:rPr>
                <w:sz w:val="20"/>
                <w:szCs w:val="20"/>
              </w:rPr>
              <w:t xml:space="preserve"> référent « </w:t>
            </w:r>
            <w:r w:rsidR="00C93983">
              <w:rPr>
                <w:i/>
                <w:sz w:val="20"/>
                <w:szCs w:val="20"/>
              </w:rPr>
              <w:t>RSE</w:t>
            </w:r>
            <w:r w:rsidR="0014437C" w:rsidRPr="00AD77C8">
              <w:rPr>
                <w:i/>
                <w:sz w:val="20"/>
                <w:szCs w:val="20"/>
              </w:rPr>
              <w:t> </w:t>
            </w:r>
            <w:r w:rsidR="0014437C" w:rsidRPr="00AD77C8">
              <w:rPr>
                <w:sz w:val="20"/>
                <w:szCs w:val="20"/>
              </w:rPr>
              <w:t>» de la</w:t>
            </w:r>
            <w:r w:rsidR="001D1869" w:rsidRPr="00AD77C8">
              <w:rPr>
                <w:sz w:val="20"/>
                <w:szCs w:val="20"/>
              </w:rPr>
              <w:t xml:space="preserve"> composante </w:t>
            </w:r>
            <w:r w:rsidR="00C93983">
              <w:rPr>
                <w:sz w:val="20"/>
                <w:szCs w:val="20"/>
              </w:rPr>
              <w:t>avec l’appui</w:t>
            </w:r>
            <w:r w:rsidR="001D1869" w:rsidRPr="00AD77C8">
              <w:rPr>
                <w:sz w:val="20"/>
                <w:szCs w:val="20"/>
              </w:rPr>
              <w:t xml:space="preserve"> du délégué à la politique sportive pour les composante</w:t>
            </w:r>
            <w:r w:rsidR="005908DB" w:rsidRPr="00AD77C8">
              <w:rPr>
                <w:sz w:val="20"/>
                <w:szCs w:val="20"/>
              </w:rPr>
              <w:t>s</w:t>
            </w:r>
            <w:r w:rsidR="001D1869" w:rsidRPr="00AD77C8">
              <w:rPr>
                <w:sz w:val="20"/>
                <w:szCs w:val="20"/>
              </w:rPr>
              <w:t xml:space="preserve"> hors UFR STAPS</w:t>
            </w:r>
            <w:r w:rsidR="00B56519" w:rsidRPr="00AD77C8">
              <w:rPr>
                <w:sz w:val="20"/>
                <w:szCs w:val="20"/>
              </w:rPr>
              <w:t xml:space="preserve"> sous couvert du directeur</w:t>
            </w:r>
            <w:r w:rsidR="001D1869" w:rsidRPr="00AD77C8">
              <w:rPr>
                <w:sz w:val="20"/>
                <w:szCs w:val="20"/>
              </w:rPr>
              <w:t xml:space="preserve">. Pour l’UFR STAPS c’est le responsable des </w:t>
            </w:r>
            <w:r w:rsidR="005F4C67">
              <w:rPr>
                <w:sz w:val="20"/>
                <w:szCs w:val="20"/>
              </w:rPr>
              <w:t>sportifs</w:t>
            </w:r>
            <w:r w:rsidR="001D1869" w:rsidRPr="00AD77C8">
              <w:rPr>
                <w:sz w:val="20"/>
                <w:szCs w:val="20"/>
              </w:rPr>
              <w:t xml:space="preserve"> </w:t>
            </w:r>
            <w:r w:rsidR="005F4C67">
              <w:rPr>
                <w:sz w:val="20"/>
                <w:szCs w:val="20"/>
              </w:rPr>
              <w:t xml:space="preserve">de </w:t>
            </w:r>
            <w:r w:rsidR="001D1869" w:rsidRPr="00AD77C8">
              <w:rPr>
                <w:sz w:val="20"/>
                <w:szCs w:val="20"/>
              </w:rPr>
              <w:t>Haut niveau qui propose les aménagements</w:t>
            </w:r>
            <w:r w:rsidR="00B56519" w:rsidRPr="00AD77C8">
              <w:rPr>
                <w:sz w:val="20"/>
                <w:szCs w:val="20"/>
              </w:rPr>
              <w:t xml:space="preserve"> sous couvert du directeur.</w:t>
            </w:r>
          </w:p>
          <w:p w:rsidR="001D1869" w:rsidRPr="00AD77C8" w:rsidRDefault="001D1869" w:rsidP="001D1869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sz w:val="20"/>
                <w:szCs w:val="20"/>
              </w:rPr>
            </w:pPr>
          </w:p>
          <w:p w:rsidR="00D669DF" w:rsidRPr="00AD77C8" w:rsidRDefault="0014437C" w:rsidP="00897EC7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ind w:left="317" w:hanging="142"/>
              <w:jc w:val="both"/>
              <w:rPr>
                <w:sz w:val="20"/>
                <w:szCs w:val="20"/>
              </w:rPr>
            </w:pPr>
            <w:r w:rsidRPr="00AD77C8">
              <w:rPr>
                <w:sz w:val="20"/>
                <w:szCs w:val="20"/>
              </w:rPr>
              <w:t>Marche à suivre  pour la composante :</w:t>
            </w:r>
          </w:p>
          <w:p w:rsidR="0014437C" w:rsidRPr="00AD77C8" w:rsidRDefault="0014437C" w:rsidP="001D1869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</w:p>
          <w:p w:rsidR="0014437C" w:rsidRPr="00AD77C8" w:rsidRDefault="0014437C" w:rsidP="00D669DF">
            <w:pPr>
              <w:pStyle w:val="Paragraphedeliste"/>
              <w:numPr>
                <w:ilvl w:val="0"/>
                <w:numId w:val="6"/>
              </w:num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AD77C8">
              <w:rPr>
                <w:sz w:val="20"/>
                <w:szCs w:val="20"/>
              </w:rPr>
              <w:t xml:space="preserve">l’étudiant </w:t>
            </w:r>
            <w:r w:rsidR="00D669DF" w:rsidRPr="00AD77C8">
              <w:rPr>
                <w:sz w:val="20"/>
                <w:szCs w:val="20"/>
              </w:rPr>
              <w:t xml:space="preserve"> se présente </w:t>
            </w:r>
            <w:r w:rsidR="0036052D" w:rsidRPr="00AD77C8">
              <w:rPr>
                <w:sz w:val="20"/>
                <w:szCs w:val="20"/>
              </w:rPr>
              <w:t xml:space="preserve">spontanément </w:t>
            </w:r>
            <w:r w:rsidRPr="00AD77C8">
              <w:rPr>
                <w:sz w:val="20"/>
                <w:szCs w:val="20"/>
              </w:rPr>
              <w:t>au référent de la composante ou</w:t>
            </w:r>
            <w:r w:rsidR="00B56519" w:rsidRPr="00AD77C8">
              <w:rPr>
                <w:sz w:val="20"/>
                <w:szCs w:val="20"/>
              </w:rPr>
              <w:t xml:space="preserve"> au responsable des </w:t>
            </w:r>
            <w:r w:rsidR="005F4C67">
              <w:rPr>
                <w:sz w:val="20"/>
                <w:szCs w:val="20"/>
              </w:rPr>
              <w:t>sportifs</w:t>
            </w:r>
            <w:r w:rsidR="00B56519" w:rsidRPr="00AD77C8">
              <w:rPr>
                <w:sz w:val="20"/>
                <w:szCs w:val="20"/>
              </w:rPr>
              <w:t xml:space="preserve"> </w:t>
            </w:r>
            <w:r w:rsidR="001D1869" w:rsidRPr="00AD77C8">
              <w:rPr>
                <w:sz w:val="20"/>
                <w:szCs w:val="20"/>
              </w:rPr>
              <w:t xml:space="preserve"> HN</w:t>
            </w:r>
            <w:r w:rsidR="00B56519" w:rsidRPr="00AD77C8">
              <w:rPr>
                <w:sz w:val="20"/>
                <w:szCs w:val="20"/>
              </w:rPr>
              <w:t>,</w:t>
            </w:r>
          </w:p>
          <w:p w:rsidR="0014437C" w:rsidRPr="00AD77C8" w:rsidRDefault="00933045" w:rsidP="00D669DF">
            <w:pPr>
              <w:pStyle w:val="Paragraphedeliste"/>
              <w:numPr>
                <w:ilvl w:val="0"/>
                <w:numId w:val="6"/>
              </w:num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AD77C8">
              <w:rPr>
                <w:sz w:val="20"/>
                <w:szCs w:val="20"/>
              </w:rPr>
              <w:t>o</w:t>
            </w:r>
            <w:r w:rsidR="00C93983">
              <w:rPr>
                <w:sz w:val="20"/>
                <w:szCs w:val="20"/>
              </w:rPr>
              <w:t>u</w:t>
            </w:r>
            <w:r w:rsidR="00F3000F" w:rsidRPr="00AD77C8">
              <w:rPr>
                <w:sz w:val="20"/>
                <w:szCs w:val="20"/>
              </w:rPr>
              <w:t xml:space="preserve"> </w:t>
            </w:r>
            <w:r w:rsidR="0014437C" w:rsidRPr="00AD77C8">
              <w:rPr>
                <w:sz w:val="20"/>
                <w:szCs w:val="20"/>
              </w:rPr>
              <w:t>une réunion peut être organisée par la composante pour identifier les étudiants concernés</w:t>
            </w:r>
            <w:r w:rsidR="00B56519" w:rsidRPr="00AD77C8">
              <w:rPr>
                <w:sz w:val="20"/>
                <w:szCs w:val="20"/>
              </w:rPr>
              <w:t>,</w:t>
            </w:r>
          </w:p>
          <w:p w:rsidR="0014437C" w:rsidRPr="00AD77C8" w:rsidRDefault="00B56519" w:rsidP="00D669DF">
            <w:pPr>
              <w:pStyle w:val="Paragraphedeliste"/>
              <w:numPr>
                <w:ilvl w:val="0"/>
                <w:numId w:val="6"/>
              </w:num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AD77C8">
              <w:rPr>
                <w:sz w:val="20"/>
                <w:szCs w:val="20"/>
              </w:rPr>
              <w:t>un dossier</w:t>
            </w:r>
            <w:r w:rsidR="0014437C" w:rsidRPr="00AD77C8">
              <w:rPr>
                <w:sz w:val="20"/>
                <w:szCs w:val="20"/>
              </w:rPr>
              <w:t xml:space="preserve"> est composé par l’étudiant justifiant de sa situation et de ses besoins,</w:t>
            </w:r>
          </w:p>
          <w:p w:rsidR="0014437C" w:rsidRPr="00AD77C8" w:rsidRDefault="001D1869" w:rsidP="00D669DF">
            <w:pPr>
              <w:pStyle w:val="Paragraphedeliste"/>
              <w:numPr>
                <w:ilvl w:val="0"/>
                <w:numId w:val="6"/>
              </w:num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AD77C8">
              <w:rPr>
                <w:sz w:val="20"/>
                <w:szCs w:val="20"/>
              </w:rPr>
              <w:t>une commission spécifique</w:t>
            </w:r>
            <w:r w:rsidR="00C93983">
              <w:rPr>
                <w:sz w:val="20"/>
                <w:szCs w:val="20"/>
              </w:rPr>
              <w:t xml:space="preserve"> « RSE »</w:t>
            </w:r>
            <w:r w:rsidR="0014437C" w:rsidRPr="00AD77C8">
              <w:rPr>
                <w:sz w:val="20"/>
                <w:szCs w:val="20"/>
              </w:rPr>
              <w:t xml:space="preserve"> </w:t>
            </w:r>
            <w:r w:rsidRPr="00AD77C8">
              <w:rPr>
                <w:sz w:val="20"/>
                <w:szCs w:val="20"/>
              </w:rPr>
              <w:t xml:space="preserve">au sein de la composante </w:t>
            </w:r>
            <w:r w:rsidR="0014437C" w:rsidRPr="00AD77C8">
              <w:rPr>
                <w:sz w:val="20"/>
                <w:szCs w:val="20"/>
              </w:rPr>
              <w:t>peut valider le statut « d’étudiant haut niveau » </w:t>
            </w:r>
          </w:p>
          <w:p w:rsidR="00F3000F" w:rsidRPr="00AD77C8" w:rsidRDefault="00F3000F" w:rsidP="00D669DF">
            <w:pPr>
              <w:pStyle w:val="Paragraphedeliste"/>
              <w:numPr>
                <w:ilvl w:val="0"/>
                <w:numId w:val="6"/>
              </w:num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AD77C8">
              <w:rPr>
                <w:sz w:val="20"/>
                <w:szCs w:val="20"/>
              </w:rPr>
              <w:t>pour les composantes ne disposant pas de commission spécifique, le délégué à la politique sportive se prononce sur le cas particulier auprès du responsable de la composante</w:t>
            </w:r>
            <w:r w:rsidR="00584936" w:rsidRPr="00AD77C8">
              <w:rPr>
                <w:sz w:val="20"/>
                <w:szCs w:val="20"/>
              </w:rPr>
              <w:t>,</w:t>
            </w:r>
          </w:p>
          <w:p w:rsidR="001D1869" w:rsidRPr="00AD77C8" w:rsidRDefault="001D1869" w:rsidP="00D669DF">
            <w:pPr>
              <w:pStyle w:val="Paragraphedeliste"/>
              <w:numPr>
                <w:ilvl w:val="0"/>
                <w:numId w:val="6"/>
              </w:num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AD77C8">
              <w:rPr>
                <w:sz w:val="20"/>
                <w:szCs w:val="20"/>
              </w:rPr>
              <w:t>Les aménagements pédagogiques sont validés</w:t>
            </w:r>
            <w:r w:rsidR="00F3000F" w:rsidRPr="00AD77C8">
              <w:rPr>
                <w:sz w:val="20"/>
                <w:szCs w:val="20"/>
              </w:rPr>
              <w:t xml:space="preserve"> avec l’étudiant et l’entraineur si possible</w:t>
            </w:r>
            <w:r w:rsidRPr="00AD77C8">
              <w:rPr>
                <w:sz w:val="20"/>
                <w:szCs w:val="20"/>
              </w:rPr>
              <w:t>. La fiche IP (inscription pédagogique</w:t>
            </w:r>
            <w:r w:rsidR="00B56519" w:rsidRPr="00AD77C8">
              <w:rPr>
                <w:sz w:val="20"/>
                <w:szCs w:val="20"/>
              </w:rPr>
              <w:t>)</w:t>
            </w:r>
            <w:r w:rsidRPr="00AD77C8">
              <w:rPr>
                <w:sz w:val="20"/>
                <w:szCs w:val="20"/>
              </w:rPr>
              <w:t xml:space="preserve"> est concrétisée. </w:t>
            </w:r>
          </w:p>
          <w:p w:rsidR="009E56AC" w:rsidRPr="00AD77C8" w:rsidRDefault="009E56AC" w:rsidP="001D1869">
            <w:pPr>
              <w:pStyle w:val="Paragraphedeliste"/>
              <w:tabs>
                <w:tab w:val="left" w:pos="1026"/>
              </w:tabs>
              <w:ind w:left="1746"/>
              <w:jc w:val="both"/>
              <w:rPr>
                <w:sz w:val="20"/>
                <w:szCs w:val="20"/>
              </w:rPr>
            </w:pPr>
          </w:p>
        </w:tc>
      </w:tr>
      <w:tr w:rsidR="003165DD" w:rsidRPr="00AD77C8" w:rsidTr="00D669DF">
        <w:tc>
          <w:tcPr>
            <w:tcW w:w="4395" w:type="dxa"/>
          </w:tcPr>
          <w:p w:rsidR="00B04325" w:rsidRPr="00AD77C8" w:rsidRDefault="00B04325" w:rsidP="00B04325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AD77C8">
              <w:rPr>
                <w:rFonts w:cs="Arial"/>
                <w:b/>
                <w:sz w:val="28"/>
                <w:szCs w:val="20"/>
              </w:rPr>
              <w:t>Date limite de déclaration de la situation auprès de sa composante</w:t>
            </w:r>
          </w:p>
          <w:p w:rsidR="00A124A5" w:rsidRPr="00AD77C8" w:rsidRDefault="00A124A5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3165DD" w:rsidRPr="00AD77C8" w:rsidRDefault="0003557A" w:rsidP="00897EC7">
            <w:pPr>
              <w:pStyle w:val="Paragraphedeliste"/>
              <w:numPr>
                <w:ilvl w:val="0"/>
                <w:numId w:val="4"/>
              </w:numPr>
              <w:tabs>
                <w:tab w:val="left" w:pos="459"/>
              </w:tabs>
              <w:ind w:left="317" w:hanging="142"/>
              <w:jc w:val="both"/>
              <w:rPr>
                <w:sz w:val="20"/>
                <w:szCs w:val="20"/>
              </w:rPr>
            </w:pPr>
            <w:r w:rsidRPr="00AD77C8">
              <w:rPr>
                <w:sz w:val="20"/>
                <w:szCs w:val="20"/>
              </w:rPr>
              <w:t>1</w:t>
            </w:r>
            <w:r w:rsidRPr="00AD77C8">
              <w:rPr>
                <w:sz w:val="20"/>
                <w:szCs w:val="20"/>
                <w:vertAlign w:val="superscript"/>
              </w:rPr>
              <w:t>er</w:t>
            </w:r>
            <w:r w:rsidR="00C93983">
              <w:rPr>
                <w:sz w:val="20"/>
                <w:szCs w:val="20"/>
              </w:rPr>
              <w:t xml:space="preserve"> semestre : 15</w:t>
            </w:r>
            <w:r w:rsidR="00B56519" w:rsidRPr="00AD77C8">
              <w:rPr>
                <w:sz w:val="20"/>
                <w:szCs w:val="20"/>
              </w:rPr>
              <w:t xml:space="preserve"> octobre</w:t>
            </w:r>
            <w:r w:rsidRPr="00AD77C8">
              <w:rPr>
                <w:sz w:val="20"/>
                <w:szCs w:val="20"/>
              </w:rPr>
              <w:t xml:space="preserve"> de l’année universitaire en cours</w:t>
            </w:r>
          </w:p>
          <w:p w:rsidR="0003557A" w:rsidRPr="00AD77C8" w:rsidRDefault="0003557A" w:rsidP="00897EC7">
            <w:pPr>
              <w:pStyle w:val="Paragraphedeliste"/>
              <w:numPr>
                <w:ilvl w:val="0"/>
                <w:numId w:val="4"/>
              </w:numPr>
              <w:tabs>
                <w:tab w:val="left" w:pos="459"/>
              </w:tabs>
              <w:ind w:left="317" w:hanging="142"/>
              <w:jc w:val="both"/>
              <w:rPr>
                <w:sz w:val="20"/>
                <w:szCs w:val="20"/>
              </w:rPr>
            </w:pPr>
            <w:r w:rsidRPr="00AD77C8">
              <w:rPr>
                <w:sz w:val="20"/>
                <w:szCs w:val="20"/>
              </w:rPr>
              <w:t>2</w:t>
            </w:r>
            <w:r w:rsidRPr="00AD77C8">
              <w:rPr>
                <w:sz w:val="20"/>
                <w:szCs w:val="20"/>
                <w:vertAlign w:val="superscript"/>
              </w:rPr>
              <w:t>ème</w:t>
            </w:r>
            <w:r w:rsidR="0088184D" w:rsidRPr="00AD77C8">
              <w:rPr>
                <w:sz w:val="20"/>
                <w:szCs w:val="20"/>
              </w:rPr>
              <w:t xml:space="preserve"> semestre : 1</w:t>
            </w:r>
            <w:r w:rsidR="00C93983">
              <w:rPr>
                <w:sz w:val="20"/>
                <w:szCs w:val="20"/>
              </w:rPr>
              <w:t>5</w:t>
            </w:r>
            <w:r w:rsidR="0088184D" w:rsidRPr="00AD77C8">
              <w:rPr>
                <w:sz w:val="20"/>
                <w:szCs w:val="20"/>
              </w:rPr>
              <w:t xml:space="preserve"> </w:t>
            </w:r>
            <w:r w:rsidR="00B56519" w:rsidRPr="00AD77C8">
              <w:rPr>
                <w:sz w:val="20"/>
                <w:szCs w:val="20"/>
              </w:rPr>
              <w:t>février</w:t>
            </w:r>
            <w:r w:rsidR="0088184D" w:rsidRPr="00AD77C8">
              <w:rPr>
                <w:sz w:val="20"/>
                <w:szCs w:val="20"/>
              </w:rPr>
              <w:t xml:space="preserve"> </w:t>
            </w:r>
            <w:r w:rsidRPr="00AD77C8">
              <w:rPr>
                <w:sz w:val="20"/>
                <w:szCs w:val="20"/>
              </w:rPr>
              <w:t>de l’année universitaire en cours</w:t>
            </w:r>
          </w:p>
          <w:p w:rsidR="0088184D" w:rsidRPr="00AD77C8" w:rsidRDefault="0088184D" w:rsidP="0088184D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</w:p>
          <w:p w:rsidR="00674F2E" w:rsidRPr="00D14601" w:rsidRDefault="00674F2E" w:rsidP="00674F2E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b/>
                <w:szCs w:val="20"/>
                <w:u w:val="single"/>
              </w:rPr>
            </w:pPr>
            <w:r w:rsidRPr="00D14601">
              <w:rPr>
                <w:rFonts w:cs="Arial"/>
                <w:b/>
                <w:szCs w:val="20"/>
                <w:u w:val="single"/>
              </w:rPr>
              <w:t>Procédure :</w:t>
            </w:r>
          </w:p>
          <w:p w:rsidR="00674F2E" w:rsidRPr="00D14601" w:rsidRDefault="00674F2E" w:rsidP="00674F2E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sz w:val="20"/>
                <w:szCs w:val="20"/>
              </w:rPr>
            </w:pPr>
          </w:p>
          <w:p w:rsidR="00674F2E" w:rsidRPr="00D14601" w:rsidRDefault="00674F2E" w:rsidP="00674F2E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sz w:val="18"/>
                <w:szCs w:val="20"/>
              </w:rPr>
            </w:pPr>
            <w:r w:rsidRPr="00D14601">
              <w:rPr>
                <w:rFonts w:cs="Arial"/>
                <w:sz w:val="18"/>
                <w:szCs w:val="20"/>
              </w:rPr>
              <w:sym w:font="Wingdings" w:char="F0E8"/>
            </w:r>
            <w:r w:rsidRPr="00D14601">
              <w:rPr>
                <w:rFonts w:cs="Arial"/>
                <w:sz w:val="18"/>
                <w:szCs w:val="20"/>
              </w:rPr>
              <w:t xml:space="preserve"> Demande à formuler le plus tôt possible de la scolarité de sa formation au sein de sa composante</w:t>
            </w:r>
          </w:p>
          <w:p w:rsidR="00674F2E" w:rsidRPr="00D14601" w:rsidRDefault="00674F2E" w:rsidP="00674F2E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sz w:val="18"/>
                <w:szCs w:val="20"/>
              </w:rPr>
            </w:pPr>
          </w:p>
          <w:p w:rsidR="00674F2E" w:rsidRPr="00D14601" w:rsidRDefault="00674F2E" w:rsidP="00674F2E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sz w:val="18"/>
                <w:szCs w:val="20"/>
              </w:rPr>
            </w:pPr>
            <w:r w:rsidRPr="00D14601">
              <w:rPr>
                <w:rFonts w:cs="Arial"/>
                <w:sz w:val="18"/>
                <w:szCs w:val="20"/>
              </w:rPr>
              <w:sym w:font="Wingdings" w:char="F0E8"/>
            </w:r>
            <w:r w:rsidRPr="00D14601">
              <w:rPr>
                <w:rFonts w:cs="Arial"/>
                <w:sz w:val="18"/>
                <w:szCs w:val="20"/>
              </w:rPr>
              <w:t xml:space="preserve">1 dossier de demande à compléter avec justificatifs </w:t>
            </w:r>
          </w:p>
          <w:p w:rsidR="00674F2E" w:rsidRPr="00D14601" w:rsidRDefault="00674F2E" w:rsidP="00674F2E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sz w:val="18"/>
                <w:szCs w:val="20"/>
              </w:rPr>
            </w:pPr>
          </w:p>
          <w:p w:rsidR="00674F2E" w:rsidRPr="00D14601" w:rsidRDefault="00674F2E" w:rsidP="00674F2E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rFonts w:cs="Arial"/>
                <w:sz w:val="18"/>
                <w:szCs w:val="20"/>
              </w:rPr>
            </w:pPr>
            <w:r w:rsidRPr="00D14601">
              <w:rPr>
                <w:rFonts w:cs="Arial"/>
                <w:sz w:val="18"/>
                <w:szCs w:val="20"/>
              </w:rPr>
              <w:sym w:font="Wingdings" w:char="F0E8"/>
            </w:r>
            <w:r w:rsidRPr="00D14601">
              <w:rPr>
                <w:rFonts w:cs="Arial"/>
                <w:sz w:val="18"/>
                <w:szCs w:val="20"/>
              </w:rPr>
              <w:t>1 réponse of</w:t>
            </w:r>
            <w:r w:rsidR="00C80155">
              <w:rPr>
                <w:rFonts w:cs="Arial"/>
                <w:sz w:val="18"/>
                <w:szCs w:val="20"/>
              </w:rPr>
              <w:t>ficielle d’acceptation de demande de RSE</w:t>
            </w:r>
          </w:p>
          <w:p w:rsidR="009E56AC" w:rsidRPr="00AD77C8" w:rsidRDefault="009E56AC" w:rsidP="00B56519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</w:p>
        </w:tc>
      </w:tr>
      <w:tr w:rsidR="003165DD" w:rsidRPr="00AD77C8" w:rsidTr="00D669DF">
        <w:tc>
          <w:tcPr>
            <w:tcW w:w="4395" w:type="dxa"/>
          </w:tcPr>
          <w:p w:rsidR="00B04325" w:rsidRPr="00AD77C8" w:rsidRDefault="00B04325" w:rsidP="00B0432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B04325" w:rsidRPr="00AD77C8" w:rsidRDefault="00B04325" w:rsidP="00B04325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:rsidR="00B04325" w:rsidRPr="00AD77C8" w:rsidRDefault="00B04325" w:rsidP="00B04325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AD77C8">
              <w:rPr>
                <w:rFonts w:cs="Arial"/>
                <w:b/>
                <w:sz w:val="28"/>
                <w:szCs w:val="20"/>
              </w:rPr>
              <w:t>Aménagements disponibles</w:t>
            </w:r>
          </w:p>
          <w:p w:rsidR="00A124A5" w:rsidRPr="00AD77C8" w:rsidRDefault="00A124A5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3165DD" w:rsidRPr="00AD77C8" w:rsidRDefault="00B56519" w:rsidP="00897EC7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</w:tabs>
              <w:ind w:left="317" w:hanging="142"/>
              <w:jc w:val="both"/>
              <w:rPr>
                <w:sz w:val="20"/>
                <w:szCs w:val="20"/>
              </w:rPr>
            </w:pPr>
            <w:r w:rsidRPr="00AD77C8">
              <w:rPr>
                <w:sz w:val="20"/>
                <w:szCs w:val="20"/>
              </w:rPr>
              <w:t>dispense totale ou partielle de cours,</w:t>
            </w:r>
          </w:p>
          <w:p w:rsidR="008B30DA" w:rsidRPr="00AD77C8" w:rsidRDefault="008B30DA" w:rsidP="00897EC7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</w:tabs>
              <w:ind w:left="317" w:hanging="142"/>
              <w:jc w:val="both"/>
              <w:rPr>
                <w:sz w:val="20"/>
                <w:szCs w:val="20"/>
              </w:rPr>
            </w:pPr>
            <w:r w:rsidRPr="00AD77C8">
              <w:rPr>
                <w:sz w:val="20"/>
                <w:szCs w:val="20"/>
              </w:rPr>
              <w:t>changement de groupe de TD,</w:t>
            </w:r>
          </w:p>
          <w:p w:rsidR="008B30DA" w:rsidRPr="00AD77C8" w:rsidRDefault="008B30DA" w:rsidP="00897EC7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</w:tabs>
              <w:ind w:left="317" w:hanging="142"/>
              <w:jc w:val="both"/>
              <w:rPr>
                <w:sz w:val="20"/>
                <w:szCs w:val="20"/>
              </w:rPr>
            </w:pPr>
            <w:r w:rsidRPr="00AD77C8">
              <w:rPr>
                <w:sz w:val="20"/>
                <w:szCs w:val="20"/>
              </w:rPr>
              <w:t xml:space="preserve">participation à un groupe de TD </w:t>
            </w:r>
            <w:r w:rsidR="00C93983">
              <w:rPr>
                <w:sz w:val="20"/>
                <w:szCs w:val="20"/>
              </w:rPr>
              <w:t>différent</w:t>
            </w:r>
            <w:r w:rsidRPr="00AD77C8">
              <w:rPr>
                <w:sz w:val="20"/>
                <w:szCs w:val="20"/>
              </w:rPr>
              <w:t>,</w:t>
            </w:r>
          </w:p>
          <w:p w:rsidR="00B56519" w:rsidRPr="00AD77C8" w:rsidRDefault="00B56519" w:rsidP="00897EC7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</w:tabs>
              <w:ind w:left="317" w:hanging="142"/>
              <w:jc w:val="both"/>
              <w:rPr>
                <w:sz w:val="20"/>
                <w:szCs w:val="20"/>
              </w:rPr>
            </w:pPr>
            <w:r w:rsidRPr="00AD77C8">
              <w:rPr>
                <w:sz w:val="20"/>
                <w:szCs w:val="20"/>
              </w:rPr>
              <w:t>étalement des études sur plusieurs années,</w:t>
            </w:r>
          </w:p>
          <w:p w:rsidR="00B56519" w:rsidRPr="00AD77C8" w:rsidRDefault="00B56519" w:rsidP="00897EC7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</w:tabs>
              <w:ind w:left="317" w:hanging="142"/>
              <w:jc w:val="both"/>
              <w:rPr>
                <w:sz w:val="20"/>
                <w:szCs w:val="20"/>
              </w:rPr>
            </w:pPr>
            <w:r w:rsidRPr="00AD77C8">
              <w:rPr>
                <w:sz w:val="20"/>
                <w:szCs w:val="20"/>
              </w:rPr>
              <w:t>absences ponctuelles sur présentation de justificatifs, (compétitions, stages, contrôle antidopage, visite médicale, soins, entrainement ponctuels…)</w:t>
            </w:r>
          </w:p>
          <w:p w:rsidR="009E56AC" w:rsidRPr="00AD77C8" w:rsidRDefault="009E56AC" w:rsidP="00897EC7">
            <w:pPr>
              <w:pStyle w:val="Paragraphedeliste"/>
              <w:numPr>
                <w:ilvl w:val="0"/>
                <w:numId w:val="5"/>
              </w:numPr>
              <w:tabs>
                <w:tab w:val="left" w:pos="459"/>
              </w:tabs>
              <w:ind w:left="317" w:hanging="142"/>
              <w:jc w:val="both"/>
              <w:rPr>
                <w:sz w:val="20"/>
                <w:szCs w:val="20"/>
              </w:rPr>
            </w:pPr>
            <w:r w:rsidRPr="00AD77C8">
              <w:rPr>
                <w:sz w:val="20"/>
                <w:szCs w:val="20"/>
              </w:rPr>
              <w:t>Les</w:t>
            </w:r>
            <w:r w:rsidR="00C93983">
              <w:rPr>
                <w:sz w:val="20"/>
                <w:szCs w:val="20"/>
              </w:rPr>
              <w:t xml:space="preserve"> composantes </w:t>
            </w:r>
            <w:r w:rsidRPr="00AD77C8">
              <w:rPr>
                <w:sz w:val="20"/>
                <w:szCs w:val="20"/>
              </w:rPr>
              <w:t>peuvent toujours compléter cette préconisation dans un sens plus favorable à l’étudiant</w:t>
            </w:r>
          </w:p>
          <w:p w:rsidR="00897EC7" w:rsidRPr="00AD77C8" w:rsidRDefault="00897EC7" w:rsidP="00897EC7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sz w:val="20"/>
                <w:szCs w:val="20"/>
              </w:rPr>
            </w:pPr>
          </w:p>
          <w:p w:rsidR="00CB2CF5" w:rsidRPr="00AD77C8" w:rsidRDefault="00CB2CF5" w:rsidP="00897EC7">
            <w:pPr>
              <w:pStyle w:val="Paragraphedeliste"/>
              <w:tabs>
                <w:tab w:val="left" w:pos="459"/>
              </w:tabs>
              <w:ind w:left="317"/>
              <w:jc w:val="both"/>
              <w:rPr>
                <w:sz w:val="20"/>
                <w:szCs w:val="20"/>
              </w:rPr>
            </w:pPr>
          </w:p>
          <w:p w:rsidR="00CB2CF5" w:rsidRPr="00AD77C8" w:rsidRDefault="00CB2CF5" w:rsidP="00897EC7">
            <w:pPr>
              <w:pStyle w:val="Paragraphedeliste"/>
              <w:tabs>
                <w:tab w:val="left" w:pos="459"/>
              </w:tabs>
              <w:ind w:left="317" w:hanging="142"/>
              <w:jc w:val="both"/>
              <w:rPr>
                <w:sz w:val="20"/>
                <w:szCs w:val="20"/>
              </w:rPr>
            </w:pPr>
          </w:p>
        </w:tc>
      </w:tr>
      <w:tr w:rsidR="003165DD" w:rsidRPr="00AD77C8" w:rsidTr="00D669DF">
        <w:tc>
          <w:tcPr>
            <w:tcW w:w="4395" w:type="dxa"/>
          </w:tcPr>
          <w:p w:rsidR="00B04325" w:rsidRPr="00AD77C8" w:rsidRDefault="00B04325" w:rsidP="00AD77C8">
            <w:pPr>
              <w:rPr>
                <w:rFonts w:cs="Arial"/>
                <w:b/>
                <w:sz w:val="28"/>
                <w:szCs w:val="20"/>
              </w:rPr>
            </w:pPr>
          </w:p>
          <w:p w:rsidR="003165DD" w:rsidRPr="00AD77C8" w:rsidRDefault="0014783F" w:rsidP="0014783F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0"/>
              </w:rPr>
              <w:t>Demande de régime spécifique d’étude</w:t>
            </w:r>
          </w:p>
        </w:tc>
        <w:tc>
          <w:tcPr>
            <w:tcW w:w="6379" w:type="dxa"/>
          </w:tcPr>
          <w:p w:rsidR="0014783F" w:rsidRDefault="0014783F" w:rsidP="0014783F">
            <w:pPr>
              <w:tabs>
                <w:tab w:val="left" w:pos="459"/>
              </w:tabs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Une demande de Régime Spécifique d’Etude devra être effectuée</w:t>
            </w:r>
            <w:r w:rsidRPr="00E27B35">
              <w:rPr>
                <w:sz w:val="18"/>
                <w:szCs w:val="20"/>
              </w:rPr>
              <w:t xml:space="preserve"> afin de spécifier les périodes d’autorisations d’absences justifiées ainsi que le mode d’évaluation </w:t>
            </w:r>
            <w:r w:rsidRPr="00E27B35">
              <w:rPr>
                <w:b/>
                <w:bCs/>
                <w:sz w:val="18"/>
                <w:szCs w:val="20"/>
                <w:u w:val="single"/>
              </w:rPr>
              <w:t>du contrôle continu</w:t>
            </w:r>
            <w:r w:rsidRPr="00E27B35">
              <w:rPr>
                <w:sz w:val="18"/>
                <w:szCs w:val="20"/>
              </w:rPr>
              <w:t xml:space="preserve"> des </w:t>
            </w:r>
            <w:proofErr w:type="spellStart"/>
            <w:r w:rsidRPr="00E27B35">
              <w:rPr>
                <w:sz w:val="18"/>
                <w:szCs w:val="20"/>
              </w:rPr>
              <w:t>UEs</w:t>
            </w:r>
            <w:proofErr w:type="spellEnd"/>
            <w:r w:rsidRPr="00E27B35">
              <w:rPr>
                <w:sz w:val="18"/>
                <w:szCs w:val="20"/>
              </w:rPr>
              <w:t>/</w:t>
            </w:r>
            <w:proofErr w:type="spellStart"/>
            <w:r w:rsidRPr="00E27B35">
              <w:rPr>
                <w:sz w:val="18"/>
                <w:szCs w:val="20"/>
              </w:rPr>
              <w:t>ECs</w:t>
            </w:r>
            <w:proofErr w:type="spellEnd"/>
            <w:r w:rsidRPr="00E27B35">
              <w:rPr>
                <w:sz w:val="18"/>
                <w:szCs w:val="20"/>
              </w:rPr>
              <w:t xml:space="preserve"> concernées selon les MCC. </w:t>
            </w:r>
          </w:p>
          <w:p w:rsidR="0014783F" w:rsidRPr="00E27B35" w:rsidRDefault="0014783F" w:rsidP="0014783F">
            <w:pPr>
              <w:tabs>
                <w:tab w:val="left" w:pos="459"/>
              </w:tabs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L’étudiant devra choisir, après concertation auprès des enseignants concernés, entre deux modes dévaluation : contrôle continu aménagé ou organisation d’une épreuve terminale pendant la période des EXAMENS planifiée au sein de la composante pour chaque UE/EC concernée.</w:t>
            </w:r>
          </w:p>
          <w:p w:rsidR="0014783F" w:rsidRDefault="0014783F" w:rsidP="0014783F">
            <w:pPr>
              <w:jc w:val="both"/>
              <w:rPr>
                <w:bCs/>
                <w:sz w:val="18"/>
                <w:szCs w:val="20"/>
              </w:rPr>
            </w:pPr>
            <w:r w:rsidRPr="00E27B35">
              <w:rPr>
                <w:bCs/>
                <w:sz w:val="18"/>
                <w:szCs w:val="20"/>
              </w:rPr>
              <w:t>Ce contrat peut se traduire par certains aménagements lors des EXAMENS (ex :</w:t>
            </w:r>
            <w:r>
              <w:rPr>
                <w:bCs/>
                <w:sz w:val="18"/>
                <w:szCs w:val="20"/>
              </w:rPr>
              <w:t xml:space="preserve"> </w:t>
            </w:r>
            <w:r w:rsidRPr="00E27B35">
              <w:rPr>
                <w:bCs/>
                <w:sz w:val="18"/>
                <w:szCs w:val="20"/>
              </w:rPr>
              <w:t>tiers</w:t>
            </w:r>
            <w:r w:rsidR="00F26950">
              <w:rPr>
                <w:bCs/>
                <w:sz w:val="18"/>
                <w:szCs w:val="20"/>
              </w:rPr>
              <w:t xml:space="preserve">-temps </w:t>
            </w:r>
            <w:bookmarkStart w:id="0" w:name="_GoBack"/>
            <w:bookmarkEnd w:id="0"/>
            <w:r w:rsidRPr="00E27B35">
              <w:rPr>
                <w:bCs/>
                <w:sz w:val="18"/>
                <w:szCs w:val="20"/>
              </w:rPr>
              <w:t>supplémentaire, composition sur ordinateur, ...) mais ne permet</w:t>
            </w:r>
            <w:r>
              <w:rPr>
                <w:bCs/>
                <w:sz w:val="18"/>
                <w:szCs w:val="20"/>
              </w:rPr>
              <w:t xml:space="preserve"> </w:t>
            </w:r>
            <w:r w:rsidRPr="00E27B35">
              <w:rPr>
                <w:bCs/>
                <w:sz w:val="18"/>
                <w:szCs w:val="20"/>
              </w:rPr>
              <w:t>pas de modification du calendrier des épreuves.</w:t>
            </w:r>
          </w:p>
          <w:p w:rsidR="00AD77C8" w:rsidRPr="00AD77C8" w:rsidRDefault="00AD77C8" w:rsidP="00B04325">
            <w:pPr>
              <w:ind w:left="175" w:hanging="142"/>
              <w:jc w:val="center"/>
              <w:rPr>
                <w:sz w:val="20"/>
                <w:szCs w:val="20"/>
              </w:rPr>
            </w:pPr>
          </w:p>
        </w:tc>
      </w:tr>
    </w:tbl>
    <w:p w:rsidR="00897EC7" w:rsidRPr="00AD77C8" w:rsidRDefault="00897EC7"/>
    <w:sectPr w:rsidR="00897EC7" w:rsidRPr="00AD7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8D"/>
      </v:shape>
    </w:pict>
  </w:numPicBullet>
  <w:abstractNum w:abstractNumId="0">
    <w:nsid w:val="0DC152E8"/>
    <w:multiLevelType w:val="hybridMultilevel"/>
    <w:tmpl w:val="CAB657F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C4A90"/>
    <w:multiLevelType w:val="hybridMultilevel"/>
    <w:tmpl w:val="811CA63C"/>
    <w:lvl w:ilvl="0" w:tplc="040C0007">
      <w:start w:val="1"/>
      <w:numFmt w:val="bullet"/>
      <w:lvlText w:val=""/>
      <w:lvlPicBulletId w:val="0"/>
      <w:lvlJc w:val="left"/>
      <w:pPr>
        <w:ind w:left="8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D143966"/>
    <w:multiLevelType w:val="hybridMultilevel"/>
    <w:tmpl w:val="65725EFE"/>
    <w:lvl w:ilvl="0" w:tplc="040C0005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">
    <w:nsid w:val="3B725218"/>
    <w:multiLevelType w:val="hybridMultilevel"/>
    <w:tmpl w:val="59D818D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E04D0"/>
    <w:multiLevelType w:val="hybridMultilevel"/>
    <w:tmpl w:val="AB684FE4"/>
    <w:lvl w:ilvl="0" w:tplc="040C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53936486"/>
    <w:multiLevelType w:val="hybridMultilevel"/>
    <w:tmpl w:val="68B20C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DD"/>
    <w:rsid w:val="0003557A"/>
    <w:rsid w:val="000A1C2A"/>
    <w:rsid w:val="001244AD"/>
    <w:rsid w:val="0014437C"/>
    <w:rsid w:val="0014783F"/>
    <w:rsid w:val="00166FF5"/>
    <w:rsid w:val="0018643C"/>
    <w:rsid w:val="001D1869"/>
    <w:rsid w:val="00280279"/>
    <w:rsid w:val="00311EDD"/>
    <w:rsid w:val="003165DD"/>
    <w:rsid w:val="0036052D"/>
    <w:rsid w:val="003D1D3A"/>
    <w:rsid w:val="00584936"/>
    <w:rsid w:val="005908DB"/>
    <w:rsid w:val="005A27D2"/>
    <w:rsid w:val="005E73A8"/>
    <w:rsid w:val="005F4C67"/>
    <w:rsid w:val="00674F2E"/>
    <w:rsid w:val="007F7B7A"/>
    <w:rsid w:val="0088184D"/>
    <w:rsid w:val="00897EC7"/>
    <w:rsid w:val="008B30DA"/>
    <w:rsid w:val="008C2313"/>
    <w:rsid w:val="00933045"/>
    <w:rsid w:val="009E1CD5"/>
    <w:rsid w:val="009E56AC"/>
    <w:rsid w:val="00A124A5"/>
    <w:rsid w:val="00A420EA"/>
    <w:rsid w:val="00AD77C8"/>
    <w:rsid w:val="00B04325"/>
    <w:rsid w:val="00B21440"/>
    <w:rsid w:val="00B307DB"/>
    <w:rsid w:val="00B56519"/>
    <w:rsid w:val="00C80155"/>
    <w:rsid w:val="00C927C8"/>
    <w:rsid w:val="00C93983"/>
    <w:rsid w:val="00CA51F9"/>
    <w:rsid w:val="00CB2CF5"/>
    <w:rsid w:val="00D669DF"/>
    <w:rsid w:val="00F26950"/>
    <w:rsid w:val="00F3000F"/>
    <w:rsid w:val="00F6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BF966C-6453-418C-9ECD-560F2871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124A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E56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1D3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565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BAGNERIS</dc:creator>
  <cp:lastModifiedBy>FRANCK DB</cp:lastModifiedBy>
  <cp:revision>13</cp:revision>
  <cp:lastPrinted>2017-06-28T10:47:00Z</cp:lastPrinted>
  <dcterms:created xsi:type="dcterms:W3CDTF">2018-03-05T20:06:00Z</dcterms:created>
  <dcterms:modified xsi:type="dcterms:W3CDTF">2018-04-23T06:24:00Z</dcterms:modified>
</cp:coreProperties>
</file>